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/>
        <w:jc w:val="both"/>
        <w:rPr>
          <w:sz w:val="28"/>
        </w:rPr>
      </w:pPr>
      <w:r>
        <w:rPr>
          <w:b w:val="1"/>
          <w:sz w:val="28"/>
        </w:rPr>
        <w:t>Даны разъяснения по вопросу использования средств обязательного медицинского страхования на оплату расходов на социальное обеспечение работников медицинских организаций</w:t>
      </w:r>
    </w:p>
    <w:p w14:paraId="02000000">
      <w:pPr>
        <w:pStyle w:val="Style_1"/>
        <w:ind w:firstLine="709"/>
        <w:jc w:val="both"/>
        <w:rPr>
          <w:sz w:val="28"/>
        </w:rPr>
      </w:pPr>
    </w:p>
    <w:p w14:paraId="03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В соответствии с письмом </w:t>
      </w:r>
      <w:r>
        <w:rPr>
          <w:sz w:val="28"/>
        </w:rPr>
        <w:t>ФФОМС от 23.07.2025 № 00-10-80-1-06/11409</w:t>
      </w:r>
      <w:r>
        <w:rPr>
          <w:sz w:val="28"/>
        </w:rPr>
        <w:br/>
      </w:r>
      <w:r>
        <w:rPr>
          <w:sz w:val="28"/>
        </w:rPr>
        <w:t>«Об использовании средств обязательного медицинского страхования на оплату расходов, в том числе выплат на социальное обеспечение работников медицинских организаций» о</w:t>
      </w:r>
      <w:r>
        <w:rPr>
          <w:sz w:val="28"/>
        </w:rPr>
        <w:t xml:space="preserve">тмечается, что предусмотренные статьей 178 ТК РФ выплаты по своей правовой природе являются гарантированными социальными выплатами работникам за счет средств работодателя при проведении организационно-штатных мероприятий. </w:t>
      </w:r>
    </w:p>
    <w:p w14:paraId="04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Данные выплаты не связаны с оказанием бесплатной медицинской помощи по программам обязательного медицинского страхования, соответственно не могут быть оплачены за счет средств ОМС. </w:t>
      </w:r>
    </w:p>
    <w:p w14:paraId="05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Предусмотренные статьей 178 ТК РФ выплаты не подпадают под такой вид расходов, как социальное обеспечение работников медицинских организаций, установленное законодательством РФ.</w:t>
      </w:r>
    </w:p>
    <w:p w14:paraId="06000000">
      <w:pPr>
        <w:pStyle w:val="Style_1"/>
        <w:spacing w:before="0" w:line="240" w:lineRule="auto"/>
        <w:ind w:firstLine="709"/>
        <w:jc w:val="both"/>
        <w:rPr>
          <w:sz w:val="28"/>
        </w:rPr>
      </w:pPr>
      <w:r>
        <w:rPr>
          <w:sz w:val="28"/>
        </w:rPr>
        <w:t>Таким образом, отвлечение средств ОМС на данные выплаты, не связанные с осуществлением деятельности медицинской организации по оказанию бесплатной медицинской помощи по программам ОМС, не соответствует целям предоставления субвенции.</w:t>
      </w:r>
    </w:p>
    <w:p w14:paraId="07000000">
      <w:pPr>
        <w:pStyle w:val="Style_1"/>
        <w:rPr>
          <w:sz w:val="28"/>
        </w:rPr>
      </w:pPr>
      <w:r>
        <w:rPr>
          <w:i w:val="1"/>
          <w:sz w:val="28"/>
        </w:rPr>
        <w:br/>
      </w:r>
      <w:r>
        <w:rPr>
          <w:sz w:val="28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ConsPlusTextList"/>
    <w:link w:val="Style_2_ch"/>
    <w:pPr>
      <w:widowControl w:val="0"/>
      <w:ind/>
    </w:pPr>
    <w:rPr>
      <w:rFonts w:ascii="Times New Roman" w:hAnsi="Times New Roman"/>
      <w:sz w:val="24"/>
    </w:rPr>
  </w:style>
  <w:style w:styleId="Style_2_ch" w:type="character">
    <w:name w:val="ConsPlusTextList"/>
    <w:link w:val="Style_2"/>
    <w:rPr>
      <w:rFonts w:ascii="Times New Roman" w:hAnsi="Times New Roman"/>
      <w:sz w:val="24"/>
    </w:rPr>
  </w:style>
  <w:style w:styleId="Style_3" w:type="paragraph">
    <w:name w:val="ConsPlusDocList"/>
    <w:link w:val="Style_3_ch"/>
    <w:pPr>
      <w:widowControl w:val="0"/>
      <w:ind/>
    </w:pPr>
    <w:rPr>
      <w:rFonts w:ascii="Tahoma" w:hAnsi="Tahoma"/>
      <w:sz w:val="18"/>
    </w:rPr>
  </w:style>
  <w:style w:styleId="Style_3_ch" w:type="character">
    <w:name w:val="ConsPlusDocList"/>
    <w:link w:val="Style_3"/>
    <w:rPr>
      <w:rFonts w:ascii="Tahoma" w:hAnsi="Tahoma"/>
      <w:sz w:val="18"/>
    </w:rPr>
  </w:style>
  <w:style w:styleId="Style_4" w:type="paragraph">
    <w:name w:val="toc 2"/>
    <w:next w:val="Style_5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6" w:type="paragraph">
    <w:name w:val="toc 4"/>
    <w:next w:val="Style_5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onsPlusTitlePage"/>
    <w:link w:val="Style_7_ch"/>
    <w:pPr>
      <w:widowControl w:val="0"/>
      <w:ind/>
    </w:pPr>
    <w:rPr>
      <w:rFonts w:ascii="Tahoma" w:hAnsi="Tahoma"/>
      <w:sz w:val="20"/>
    </w:rPr>
  </w:style>
  <w:style w:styleId="Style_7_ch" w:type="character">
    <w:name w:val="ConsPlusTitlePage"/>
    <w:link w:val="Style_7"/>
    <w:rPr>
      <w:rFonts w:ascii="Tahoma" w:hAnsi="Tahoma"/>
      <w:sz w:val="20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5" w:type="paragraph">
    <w:name w:val="Normal"/>
    <w:link w:val="Style_5_ch"/>
    <w:uiPriority w:val="0"/>
    <w:qFormat/>
  </w:style>
  <w:style w:styleId="Style_5_ch" w:type="character">
    <w:name w:val="Normal"/>
    <w:link w:val="Style_5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JurTerm"/>
    <w:link w:val="Style_12_ch"/>
    <w:pPr>
      <w:widowControl w:val="0"/>
      <w:ind/>
    </w:pPr>
    <w:rPr>
      <w:rFonts w:ascii="Tahoma" w:hAnsi="Tahoma"/>
      <w:sz w:val="26"/>
    </w:rPr>
  </w:style>
  <w:style w:styleId="Style_12_ch" w:type="character">
    <w:name w:val="ConsPlusJurTerm"/>
    <w:link w:val="Style_12"/>
    <w:rPr>
      <w:rFonts w:ascii="Tahoma" w:hAnsi="Tahoma"/>
      <w:sz w:val="26"/>
    </w:rPr>
  </w:style>
  <w:style w:styleId="Style_13" w:type="paragraph">
    <w:name w:val="ConsPlusNonformat"/>
    <w:link w:val="Style_13_ch"/>
    <w:pPr>
      <w:widowControl w:val="0"/>
      <w:ind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ConsPlusTitle"/>
    <w:link w:val="Style_17_ch"/>
    <w:pPr>
      <w:widowControl w:val="0"/>
      <w:ind/>
    </w:pPr>
    <w:rPr>
      <w:rFonts w:ascii="Arial" w:hAnsi="Arial"/>
      <w:b w:val="1"/>
      <w:sz w:val="24"/>
    </w:rPr>
  </w:style>
  <w:style w:styleId="Style_17_ch" w:type="character">
    <w:name w:val="ConsPlusTitle"/>
    <w:link w:val="Style_17"/>
    <w:rPr>
      <w:rFonts w:ascii="Arial" w:hAnsi="Arial"/>
      <w:b w:val="1"/>
      <w:sz w:val="24"/>
    </w:rPr>
  </w:style>
  <w:style w:styleId="Style_18" w:type="paragraph">
    <w:name w:val="ConsPlusTextList"/>
    <w:link w:val="Style_18_ch"/>
    <w:pPr>
      <w:widowControl w:val="0"/>
      <w:ind/>
    </w:pPr>
    <w:rPr>
      <w:rFonts w:ascii="Times New Roman" w:hAnsi="Times New Roman"/>
      <w:sz w:val="24"/>
    </w:rPr>
  </w:style>
  <w:style w:styleId="Style_18_ch" w:type="character">
    <w:name w:val="ConsPlusTextList"/>
    <w:link w:val="Style_18"/>
    <w:rPr>
      <w:rFonts w:ascii="Times New Roman" w:hAnsi="Times New Roman"/>
      <w:sz w:val="24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Cell"/>
    <w:link w:val="Style_26_ch"/>
    <w:pPr>
      <w:widowControl w:val="0"/>
      <w:ind/>
    </w:pPr>
    <w:rPr>
      <w:rFonts w:ascii="Courier New" w:hAnsi="Courier New"/>
      <w:sz w:val="20"/>
    </w:rPr>
  </w:style>
  <w:style w:styleId="Style_26_ch" w:type="character">
    <w:name w:val="ConsPlusCell"/>
    <w:link w:val="Style_26"/>
    <w:rPr>
      <w:rFonts w:ascii="Courier New" w:hAnsi="Courier New"/>
      <w:sz w:val="20"/>
    </w:rPr>
  </w:style>
  <w:style w:styleId="Style_27" w:type="paragraph">
    <w:name w:val="Subtitle"/>
    <w:next w:val="Style_5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5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5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5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2025-10-07T11:39:40Z</dcterms:modified>
</cp:coreProperties>
</file>